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1095"/>
        <w:gridCol w:w="1191"/>
        <w:gridCol w:w="1343"/>
        <w:gridCol w:w="1247"/>
        <w:gridCol w:w="3190"/>
        <w:gridCol w:w="1557"/>
        <w:gridCol w:w="3670"/>
        <w:gridCol w:w="2726"/>
      </w:tblGrid>
      <w:tr w:rsidR="00BF58FB" w14:paraId="7ED9C80A" w14:textId="77777777" w:rsidTr="00BF58FB">
        <w:tc>
          <w:tcPr>
            <w:tcW w:w="1178" w:type="dxa"/>
            <w:shd w:val="clear" w:color="auto" w:fill="D9F2D0" w:themeFill="accent6" w:themeFillTint="33"/>
          </w:tcPr>
          <w:p w14:paraId="20AFA278" w14:textId="5199BD2B" w:rsidR="00166FCE" w:rsidRPr="00166FCE" w:rsidRDefault="00166FCE">
            <w:pPr>
              <w:rPr>
                <w:b/>
                <w:bCs/>
              </w:rPr>
            </w:pPr>
            <w:r>
              <w:rPr>
                <w:b/>
                <w:bCs/>
              </w:rPr>
              <w:t>Client Status</w:t>
            </w:r>
          </w:p>
        </w:tc>
        <w:tc>
          <w:tcPr>
            <w:tcW w:w="1191" w:type="dxa"/>
            <w:shd w:val="clear" w:color="auto" w:fill="D9F2D0" w:themeFill="accent6" w:themeFillTint="33"/>
          </w:tcPr>
          <w:p w14:paraId="0CF89596" w14:textId="6019DFDE" w:rsidR="00166FCE" w:rsidRPr="00166FCE" w:rsidRDefault="00166FCE">
            <w:pPr>
              <w:rPr>
                <w:b/>
                <w:bCs/>
              </w:rPr>
            </w:pPr>
            <w:r>
              <w:rPr>
                <w:b/>
                <w:bCs/>
              </w:rPr>
              <w:t>Capacity Y/N</w:t>
            </w:r>
          </w:p>
        </w:tc>
        <w:tc>
          <w:tcPr>
            <w:tcW w:w="1343" w:type="dxa"/>
            <w:shd w:val="clear" w:color="auto" w:fill="D9F2D0" w:themeFill="accent6" w:themeFillTint="33"/>
          </w:tcPr>
          <w:p w14:paraId="378F539D" w14:textId="1A9DB99E" w:rsidR="00166FCE" w:rsidRPr="00166FCE" w:rsidRDefault="00166FCE">
            <w:pPr>
              <w:rPr>
                <w:b/>
                <w:bCs/>
              </w:rPr>
            </w:pPr>
            <w:r>
              <w:rPr>
                <w:b/>
                <w:bCs/>
              </w:rPr>
              <w:t>Requester Type</w:t>
            </w:r>
          </w:p>
        </w:tc>
        <w:tc>
          <w:tcPr>
            <w:tcW w:w="1247" w:type="dxa"/>
            <w:shd w:val="clear" w:color="auto" w:fill="D9F2D0" w:themeFill="accent6" w:themeFillTint="33"/>
          </w:tcPr>
          <w:p w14:paraId="108789C0" w14:textId="745DCC95" w:rsidR="00166FCE" w:rsidRPr="00166FCE" w:rsidRDefault="00166FCE">
            <w:pPr>
              <w:rPr>
                <w:b/>
                <w:bCs/>
              </w:rPr>
            </w:pPr>
            <w:r>
              <w:rPr>
                <w:b/>
                <w:bCs/>
              </w:rPr>
              <w:t>Is the Client Currently Living at Tinkers Hatch?</w:t>
            </w:r>
          </w:p>
        </w:tc>
        <w:tc>
          <w:tcPr>
            <w:tcW w:w="3217" w:type="dxa"/>
            <w:shd w:val="clear" w:color="auto" w:fill="D9F2D0" w:themeFill="accent6" w:themeFillTint="33"/>
          </w:tcPr>
          <w:p w14:paraId="3ABC4AD0" w14:textId="7DFFD4D0" w:rsidR="00166FCE" w:rsidRPr="00166FCE" w:rsidRDefault="00166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Required Evidential Documents </w:t>
            </w:r>
          </w:p>
        </w:tc>
        <w:tc>
          <w:tcPr>
            <w:tcW w:w="1570" w:type="dxa"/>
            <w:shd w:val="clear" w:color="auto" w:fill="D9F2D0" w:themeFill="accent6" w:themeFillTint="33"/>
          </w:tcPr>
          <w:p w14:paraId="648EF303" w14:textId="6564D076" w:rsidR="00166FCE" w:rsidRPr="00166FCE" w:rsidRDefault="00166FCE">
            <w:pPr>
              <w:rPr>
                <w:b/>
                <w:bCs/>
              </w:rPr>
            </w:pPr>
            <w:r>
              <w:rPr>
                <w:b/>
                <w:bCs/>
              </w:rPr>
              <w:t>Legislation</w:t>
            </w:r>
          </w:p>
        </w:tc>
        <w:tc>
          <w:tcPr>
            <w:tcW w:w="3419" w:type="dxa"/>
            <w:shd w:val="clear" w:color="auto" w:fill="D9F2D0" w:themeFill="accent6" w:themeFillTint="33"/>
          </w:tcPr>
          <w:p w14:paraId="5B0DB80B" w14:textId="6670B51D" w:rsidR="00166FCE" w:rsidRPr="00166FCE" w:rsidRDefault="00166FCE">
            <w:pPr>
              <w:rPr>
                <w:b/>
                <w:bCs/>
              </w:rPr>
            </w:pPr>
            <w:r>
              <w:rPr>
                <w:b/>
                <w:bCs/>
              </w:rPr>
              <w:t>Timescales (Apply from the date satisfactory evidence of entitlement supplied/Tinkers Hatch is able to verify the authenticity of the request/identify of the requester)</w:t>
            </w:r>
          </w:p>
        </w:tc>
        <w:tc>
          <w:tcPr>
            <w:tcW w:w="2854" w:type="dxa"/>
            <w:shd w:val="clear" w:color="auto" w:fill="D9F2D0" w:themeFill="accent6" w:themeFillTint="33"/>
          </w:tcPr>
          <w:p w14:paraId="385A64CC" w14:textId="1D587713" w:rsidR="00166FCE" w:rsidRPr="00166FCE" w:rsidRDefault="00166FCE">
            <w:pPr>
              <w:rPr>
                <w:b/>
                <w:bCs/>
              </w:rPr>
            </w:pPr>
            <w:r>
              <w:rPr>
                <w:b/>
                <w:bCs/>
              </w:rPr>
              <w:t>Exceptions</w:t>
            </w:r>
          </w:p>
        </w:tc>
      </w:tr>
      <w:tr w:rsidR="00BF58FB" w14:paraId="7694CAE3" w14:textId="77777777" w:rsidTr="00BF58FB">
        <w:tc>
          <w:tcPr>
            <w:tcW w:w="1178" w:type="dxa"/>
          </w:tcPr>
          <w:p w14:paraId="03DC10FC" w14:textId="144E09E0" w:rsidR="00166FCE" w:rsidRPr="00A14B6E" w:rsidRDefault="00166FCE" w:rsidP="00166FCE">
            <w:pPr>
              <w:rPr>
                <w:sz w:val="20"/>
                <w:szCs w:val="20"/>
              </w:rPr>
            </w:pPr>
            <w:r w:rsidRPr="00A14B6E">
              <w:rPr>
                <w:sz w:val="20"/>
                <w:szCs w:val="20"/>
              </w:rPr>
              <w:t>Living</w:t>
            </w:r>
          </w:p>
        </w:tc>
        <w:tc>
          <w:tcPr>
            <w:tcW w:w="1191" w:type="dxa"/>
          </w:tcPr>
          <w:p w14:paraId="2C845603" w14:textId="10DD9DEF" w:rsidR="00166FCE" w:rsidRPr="00A14B6E" w:rsidRDefault="00166FCE" w:rsidP="00166FCE">
            <w:pPr>
              <w:rPr>
                <w:sz w:val="20"/>
                <w:szCs w:val="20"/>
              </w:rPr>
            </w:pPr>
            <w:r w:rsidRPr="00A14B6E">
              <w:rPr>
                <w:sz w:val="20"/>
                <w:szCs w:val="20"/>
              </w:rPr>
              <w:t>Y</w:t>
            </w:r>
          </w:p>
        </w:tc>
        <w:tc>
          <w:tcPr>
            <w:tcW w:w="1343" w:type="dxa"/>
          </w:tcPr>
          <w:p w14:paraId="6BE468FC" w14:textId="2B49147F" w:rsidR="00166FCE" w:rsidRPr="00A14B6E" w:rsidRDefault="00166FCE" w:rsidP="00166FCE">
            <w:pPr>
              <w:rPr>
                <w:sz w:val="20"/>
                <w:szCs w:val="20"/>
              </w:rPr>
            </w:pPr>
            <w:r w:rsidRPr="00A14B6E">
              <w:rPr>
                <w:sz w:val="20"/>
                <w:szCs w:val="20"/>
              </w:rPr>
              <w:t>Client</w:t>
            </w:r>
          </w:p>
        </w:tc>
        <w:tc>
          <w:tcPr>
            <w:tcW w:w="1247" w:type="dxa"/>
          </w:tcPr>
          <w:p w14:paraId="349C78B8" w14:textId="2FE895BD" w:rsidR="00166FCE" w:rsidRPr="00A14B6E" w:rsidRDefault="00166FCE" w:rsidP="00166FCE">
            <w:pPr>
              <w:rPr>
                <w:sz w:val="20"/>
                <w:szCs w:val="20"/>
              </w:rPr>
            </w:pPr>
            <w:r w:rsidRPr="00A14B6E">
              <w:rPr>
                <w:sz w:val="20"/>
                <w:szCs w:val="20"/>
              </w:rPr>
              <w:t>Y</w:t>
            </w:r>
          </w:p>
        </w:tc>
        <w:tc>
          <w:tcPr>
            <w:tcW w:w="3217" w:type="dxa"/>
          </w:tcPr>
          <w:p w14:paraId="71CFF758" w14:textId="6B602B13" w:rsidR="00166FCE" w:rsidRPr="00A14B6E" w:rsidRDefault="00166FCE" w:rsidP="00166FCE">
            <w:pPr>
              <w:rPr>
                <w:sz w:val="20"/>
                <w:szCs w:val="20"/>
              </w:rPr>
            </w:pPr>
            <w:r w:rsidRPr="00A14B6E">
              <w:rPr>
                <w:sz w:val="20"/>
                <w:szCs w:val="20"/>
              </w:rPr>
              <w:t xml:space="preserve">Direct written request from the </w:t>
            </w:r>
            <w:r w:rsidR="00BF58FB" w:rsidRPr="00A14B6E">
              <w:rPr>
                <w:sz w:val="20"/>
                <w:szCs w:val="20"/>
              </w:rPr>
              <w:t>client</w:t>
            </w:r>
            <w:r w:rsidRPr="00A14B6E">
              <w:rPr>
                <w:sz w:val="20"/>
                <w:szCs w:val="20"/>
              </w:rPr>
              <w:t xml:space="preserve"> or </w:t>
            </w:r>
            <w:r w:rsidR="00467106" w:rsidRPr="00A14B6E">
              <w:rPr>
                <w:sz w:val="20"/>
                <w:szCs w:val="20"/>
              </w:rPr>
              <w:t>th</w:t>
            </w:r>
            <w:r w:rsidR="00467106">
              <w:rPr>
                <w:sz w:val="20"/>
                <w:szCs w:val="20"/>
              </w:rPr>
              <w:t>eir representative.</w:t>
            </w:r>
          </w:p>
        </w:tc>
        <w:tc>
          <w:tcPr>
            <w:tcW w:w="1570" w:type="dxa"/>
          </w:tcPr>
          <w:p w14:paraId="5250D644" w14:textId="104A0692" w:rsidR="00166FCE" w:rsidRPr="00A14B6E" w:rsidRDefault="00166FCE" w:rsidP="00166FCE">
            <w:pPr>
              <w:rPr>
                <w:sz w:val="20"/>
                <w:szCs w:val="20"/>
              </w:rPr>
            </w:pPr>
            <w:r w:rsidRPr="00A14B6E">
              <w:rPr>
                <w:sz w:val="20"/>
                <w:szCs w:val="20"/>
              </w:rPr>
              <w:t>UK GDPR 2018 and Data Protection Act 2018</w:t>
            </w:r>
          </w:p>
        </w:tc>
        <w:tc>
          <w:tcPr>
            <w:tcW w:w="3419" w:type="dxa"/>
          </w:tcPr>
          <w:p w14:paraId="0238CCBE" w14:textId="2AA63BB4" w:rsidR="00166FCE" w:rsidRPr="00A14B6E" w:rsidRDefault="00166FCE" w:rsidP="00166FCE">
            <w:pPr>
              <w:rPr>
                <w:sz w:val="20"/>
                <w:szCs w:val="20"/>
              </w:rPr>
            </w:pPr>
            <w:r w:rsidRPr="00A14B6E">
              <w:rPr>
                <w:sz w:val="20"/>
                <w:szCs w:val="20"/>
              </w:rPr>
              <w:t>One month from the date of the request (subject to satisfactory verification of the client’s identity any lawfully permissible extension).</w:t>
            </w:r>
          </w:p>
        </w:tc>
        <w:tc>
          <w:tcPr>
            <w:tcW w:w="2854" w:type="dxa"/>
          </w:tcPr>
          <w:p w14:paraId="581346ED" w14:textId="191112E2" w:rsidR="00166FCE" w:rsidRPr="00A14B6E" w:rsidRDefault="00166FCE" w:rsidP="00166FCE">
            <w:pPr>
              <w:rPr>
                <w:sz w:val="20"/>
                <w:szCs w:val="20"/>
              </w:rPr>
            </w:pPr>
            <w:r w:rsidRPr="00A14B6E">
              <w:rPr>
                <w:sz w:val="20"/>
                <w:szCs w:val="20"/>
              </w:rPr>
              <w:t xml:space="preserve">Should we need to verify the </w:t>
            </w:r>
            <w:r w:rsidR="00A14B6E" w:rsidRPr="00A14B6E">
              <w:rPr>
                <w:sz w:val="20"/>
                <w:szCs w:val="20"/>
              </w:rPr>
              <w:t>client’s identity</w:t>
            </w:r>
            <w:r w:rsidRPr="00A14B6E">
              <w:rPr>
                <w:sz w:val="20"/>
                <w:szCs w:val="20"/>
              </w:rPr>
              <w:t>, the timescale will start from the date we have assured ourselves as to the client’s identity</w:t>
            </w:r>
          </w:p>
        </w:tc>
      </w:tr>
      <w:tr w:rsidR="00BF58FB" w:rsidRPr="00BF58FB" w14:paraId="5F946F08" w14:textId="77777777" w:rsidTr="00BF58FB">
        <w:tc>
          <w:tcPr>
            <w:tcW w:w="0" w:type="auto"/>
            <w:hideMark/>
          </w:tcPr>
          <w:p w14:paraId="247440BC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Living</w:t>
            </w:r>
          </w:p>
        </w:tc>
        <w:tc>
          <w:tcPr>
            <w:tcW w:w="0" w:type="auto"/>
            <w:hideMark/>
          </w:tcPr>
          <w:p w14:paraId="1AE42745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0" w:type="auto"/>
            <w:hideMark/>
          </w:tcPr>
          <w:p w14:paraId="3DC333AB" w14:textId="442DB1D5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</w:p>
        </w:tc>
        <w:tc>
          <w:tcPr>
            <w:tcW w:w="0" w:type="auto"/>
            <w:hideMark/>
          </w:tcPr>
          <w:p w14:paraId="04A20A68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0" w:type="auto"/>
            <w:hideMark/>
          </w:tcPr>
          <w:p w14:paraId="5775DEBE" w14:textId="03118CA6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Direct written request from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or the</w:t>
            </w:r>
            <w:r w:rsidR="00467106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ir representative.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We may also require photographic identification documentation for the requester in the form or either a current passport or driving licence (or any such documentation as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Tinkers Hatch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may require from time to time).</w:t>
            </w:r>
          </w:p>
        </w:tc>
        <w:tc>
          <w:tcPr>
            <w:tcW w:w="0" w:type="auto"/>
            <w:hideMark/>
          </w:tcPr>
          <w:p w14:paraId="5FEF0A3F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UK GDPR 2018 and Data Protection Act 2018</w:t>
            </w:r>
          </w:p>
        </w:tc>
        <w:tc>
          <w:tcPr>
            <w:tcW w:w="0" w:type="auto"/>
            <w:hideMark/>
          </w:tcPr>
          <w:p w14:paraId="7068E9F3" w14:textId="6C932663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One month from the date of the request (subject to satisfactory verification of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’s identity any lawfully permissible extension).</w:t>
            </w:r>
          </w:p>
        </w:tc>
        <w:tc>
          <w:tcPr>
            <w:tcW w:w="0" w:type="auto"/>
            <w:hideMark/>
          </w:tcPr>
          <w:p w14:paraId="03E41208" w14:textId="36E13FCE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Should we need to verify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’s identity, the timescale will start from the date we have assured ourselves as to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’s identity</w:t>
            </w:r>
          </w:p>
        </w:tc>
      </w:tr>
      <w:tr w:rsidR="00A14B6E" w:rsidRPr="00BF58FB" w14:paraId="5761D66C" w14:textId="77777777" w:rsidTr="00BF58FB">
        <w:tc>
          <w:tcPr>
            <w:tcW w:w="0" w:type="auto"/>
            <w:hideMark/>
          </w:tcPr>
          <w:p w14:paraId="126C6C14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Living</w:t>
            </w:r>
          </w:p>
        </w:tc>
        <w:tc>
          <w:tcPr>
            <w:tcW w:w="0" w:type="auto"/>
            <w:hideMark/>
          </w:tcPr>
          <w:p w14:paraId="647B02D2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0" w:type="auto"/>
            <w:hideMark/>
          </w:tcPr>
          <w:p w14:paraId="5E281E09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 party</w:t>
            </w:r>
          </w:p>
        </w:tc>
        <w:tc>
          <w:tcPr>
            <w:tcW w:w="0" w:type="auto"/>
            <w:hideMark/>
          </w:tcPr>
          <w:p w14:paraId="441520C0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0" w:type="auto"/>
            <w:hideMark/>
          </w:tcPr>
          <w:p w14:paraId="79964BA6" w14:textId="044947A3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Written authorisation from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to the sharing of their records (or such other form of confirmation as we deem appropriate should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be unable to provide their consent in writing). It is likely that we will also need to speak directly to the</w:t>
            </w:r>
            <w:r w:rsidRPr="00A14B6E">
              <w:rPr>
                <w:sz w:val="20"/>
                <w:szCs w:val="20"/>
              </w:rPr>
              <w:t xml:space="preserve">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by telephone to verify their request.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We will also require photographic identification documentation for the </w:t>
            </w:r>
            <w:r w:rsidR="00467106"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third-party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requester in the 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form or either a current passport or driving licence (or any such documentation as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Tinkers Hatch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may require from time to time).</w:t>
            </w:r>
          </w:p>
        </w:tc>
        <w:tc>
          <w:tcPr>
            <w:tcW w:w="0" w:type="auto"/>
            <w:hideMark/>
          </w:tcPr>
          <w:p w14:paraId="15E120B5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UK GDPR 2018 and Data Protection Act 2018</w:t>
            </w:r>
          </w:p>
        </w:tc>
        <w:tc>
          <w:tcPr>
            <w:tcW w:w="0" w:type="auto"/>
            <w:hideMark/>
          </w:tcPr>
          <w:p w14:paraId="78B08DE7" w14:textId="36E9992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One month from the date of the request (subject to satisfactory verification that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client 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ident permits the sharing of their records with the third party, and subject to any lawfully permissible extension).</w:t>
            </w:r>
          </w:p>
        </w:tc>
        <w:tc>
          <w:tcPr>
            <w:tcW w:w="0" w:type="auto"/>
            <w:hideMark/>
          </w:tcPr>
          <w:p w14:paraId="2840C211" w14:textId="495096DB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If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does not consent to the sharing of their records with you, regrettably, we will not be able to fulfil your request.</w:t>
            </w:r>
          </w:p>
        </w:tc>
      </w:tr>
      <w:tr w:rsidR="00BF58FB" w:rsidRPr="00BF58FB" w14:paraId="019E3C02" w14:textId="77777777" w:rsidTr="00BF58FB">
        <w:tc>
          <w:tcPr>
            <w:tcW w:w="0" w:type="auto"/>
            <w:hideMark/>
          </w:tcPr>
          <w:p w14:paraId="66ABBBF7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Living</w:t>
            </w:r>
          </w:p>
        </w:tc>
        <w:tc>
          <w:tcPr>
            <w:tcW w:w="0" w:type="auto"/>
            <w:hideMark/>
          </w:tcPr>
          <w:p w14:paraId="6556DF73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0" w:type="auto"/>
            <w:hideMark/>
          </w:tcPr>
          <w:p w14:paraId="50C72E1F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 party</w:t>
            </w:r>
          </w:p>
        </w:tc>
        <w:tc>
          <w:tcPr>
            <w:tcW w:w="0" w:type="auto"/>
            <w:hideMark/>
          </w:tcPr>
          <w:p w14:paraId="044131F5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0" w:type="auto"/>
            <w:hideMark/>
          </w:tcPr>
          <w:p w14:paraId="2585E929" w14:textId="43A5BE93" w:rsidR="00BF58FB" w:rsidRPr="00A14B6E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Written authorisation from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to the sharing of their records (or such other form of confirmation as we deem appropriate should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be unable to provide their consent in writing). It is likely that we will also need to speak directly to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by telephone to verify their request.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We will also require photographic identification documentation for the </w:t>
            </w:r>
            <w:r w:rsidR="008866EC"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third-party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requester in the form or either a current passport or driving licence (or any such documentation as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Tinkers Hatch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may require from time to time).</w:t>
            </w:r>
          </w:p>
          <w:p w14:paraId="54263D8C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1410E1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UK GDPR 2018 and Data Protection Act 2018</w:t>
            </w:r>
          </w:p>
        </w:tc>
        <w:tc>
          <w:tcPr>
            <w:tcW w:w="0" w:type="auto"/>
            <w:hideMark/>
          </w:tcPr>
          <w:p w14:paraId="4ED86C97" w14:textId="27007348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One month from the date of the request (subject to satisfactory verification that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permits the sharing of their records with the third party, and subject to any lawfully permissible extension).</w:t>
            </w:r>
          </w:p>
        </w:tc>
        <w:tc>
          <w:tcPr>
            <w:tcW w:w="0" w:type="auto"/>
            <w:hideMark/>
          </w:tcPr>
          <w:p w14:paraId="5FCAC96D" w14:textId="535EED1B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If the</w:t>
            </w:r>
            <w:r w:rsidRPr="00A14B6E">
              <w:rPr>
                <w:sz w:val="20"/>
                <w:szCs w:val="20"/>
              </w:rPr>
              <w:t xml:space="preserve">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client 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does not consent to the sharing of their records with you, regrettably, we will not be able to fulfil your request.</w:t>
            </w:r>
          </w:p>
        </w:tc>
      </w:tr>
      <w:tr w:rsidR="00BF58FB" w:rsidRPr="00BF58FB" w14:paraId="28DED328" w14:textId="77777777" w:rsidTr="00BF58FB">
        <w:tc>
          <w:tcPr>
            <w:tcW w:w="0" w:type="auto"/>
            <w:hideMark/>
          </w:tcPr>
          <w:p w14:paraId="40C01C9C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Living</w:t>
            </w:r>
          </w:p>
        </w:tc>
        <w:tc>
          <w:tcPr>
            <w:tcW w:w="0" w:type="auto"/>
            <w:hideMark/>
          </w:tcPr>
          <w:p w14:paraId="25167041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0" w:type="auto"/>
            <w:hideMark/>
          </w:tcPr>
          <w:p w14:paraId="68DD3072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 party</w:t>
            </w:r>
          </w:p>
        </w:tc>
        <w:tc>
          <w:tcPr>
            <w:tcW w:w="0" w:type="auto"/>
            <w:hideMark/>
          </w:tcPr>
          <w:p w14:paraId="08988685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0" w:type="auto"/>
            <w:hideMark/>
          </w:tcPr>
          <w:p w14:paraId="5E6D4E84" w14:textId="5F2B973B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1. A copy of a Lasting Power of Attorney for health and welfare in respect of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or Court of Protection appointed Deputyship as to the same, which names the third party as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’s/ex-</w:t>
            </w:r>
            <w:r w:rsidRPr="00A14B6E">
              <w:rPr>
                <w:sz w:val="20"/>
                <w:szCs w:val="20"/>
              </w:rPr>
              <w:t xml:space="preserve">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’s lawful representative; and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2. In order to verify the identity of the </w:t>
            </w:r>
            <w:r w:rsidR="008866EC"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third-party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requester, an identification document for the third party requester in the form of a current passport or a UK driving licence (or such other identification document that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Tinkers Hatch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may from time to time require).</w:t>
            </w:r>
          </w:p>
        </w:tc>
        <w:tc>
          <w:tcPr>
            <w:tcW w:w="0" w:type="auto"/>
            <w:hideMark/>
          </w:tcPr>
          <w:p w14:paraId="226A129E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UK GDPR 2018 and Data Protection Act 2018</w:t>
            </w:r>
          </w:p>
        </w:tc>
        <w:tc>
          <w:tcPr>
            <w:tcW w:w="0" w:type="auto"/>
            <w:hideMark/>
          </w:tcPr>
          <w:p w14:paraId="5A590A1E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One month from the date of the request (subject to satisfactory receipt of the documentation described in the left- hand column and subject to any lawfully permissible extension).</w:t>
            </w:r>
          </w:p>
        </w:tc>
        <w:tc>
          <w:tcPr>
            <w:tcW w:w="0" w:type="auto"/>
            <w:hideMark/>
          </w:tcPr>
          <w:p w14:paraId="24E60F1F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If we become aware that the Power of Attorney/Deputyship has been revoked or is in the process of being revoked/challenged, we may not be able to release the records to you.</w:t>
            </w:r>
          </w:p>
        </w:tc>
      </w:tr>
      <w:tr w:rsidR="00BF58FB" w:rsidRPr="00BF58FB" w14:paraId="016A01C4" w14:textId="77777777" w:rsidTr="00BF58FB">
        <w:tc>
          <w:tcPr>
            <w:tcW w:w="0" w:type="auto"/>
            <w:hideMark/>
          </w:tcPr>
          <w:p w14:paraId="57B32518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Living</w:t>
            </w:r>
          </w:p>
        </w:tc>
        <w:tc>
          <w:tcPr>
            <w:tcW w:w="0" w:type="auto"/>
            <w:hideMark/>
          </w:tcPr>
          <w:p w14:paraId="0EA3002F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0" w:type="auto"/>
            <w:hideMark/>
          </w:tcPr>
          <w:p w14:paraId="1E4AC539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 party</w:t>
            </w:r>
          </w:p>
        </w:tc>
        <w:tc>
          <w:tcPr>
            <w:tcW w:w="0" w:type="auto"/>
            <w:hideMark/>
          </w:tcPr>
          <w:p w14:paraId="357CCD63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0" w:type="auto"/>
            <w:hideMark/>
          </w:tcPr>
          <w:p w14:paraId="0FE012DA" w14:textId="3CB956AB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1. A copy of a Lasting Power of Attorney for health and welfare in respect of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or Court of Protection appointed Deputyship as to the same, which names the third party as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’s/ex-</w:t>
            </w:r>
            <w:r w:rsidRPr="00A14B6E">
              <w:rPr>
                <w:sz w:val="20"/>
                <w:szCs w:val="20"/>
              </w:rPr>
              <w:t xml:space="preserve">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’s lawful representative; and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2. In order to verify the identity of the </w:t>
            </w:r>
            <w:r w:rsidR="00A14B6E"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third-party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requester, an identification document for the </w:t>
            </w:r>
            <w:r w:rsidR="008866EC"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third-party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requester in the form of a current passport or a UK driving licence (or such other identification document that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Tinkers Hatch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may from time to time require).</w:t>
            </w:r>
          </w:p>
        </w:tc>
        <w:tc>
          <w:tcPr>
            <w:tcW w:w="0" w:type="auto"/>
            <w:hideMark/>
          </w:tcPr>
          <w:p w14:paraId="223FFE67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UK GDPR 2018 and Data Protection Act 2018</w:t>
            </w:r>
          </w:p>
        </w:tc>
        <w:tc>
          <w:tcPr>
            <w:tcW w:w="0" w:type="auto"/>
            <w:hideMark/>
          </w:tcPr>
          <w:p w14:paraId="0C0F7AA8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One month from the date of the request (subject to satisfactory receipt of the documentation described in the left- hand column and subject to any lawfully permissible extension).</w:t>
            </w:r>
          </w:p>
        </w:tc>
        <w:tc>
          <w:tcPr>
            <w:tcW w:w="0" w:type="auto"/>
            <w:hideMark/>
          </w:tcPr>
          <w:p w14:paraId="48E12C36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If we become aware that the Power of Attorney/Deputyship has been revoked or is in the process of being revoked/challenged, we may not be able to release the records to you.</w:t>
            </w:r>
          </w:p>
        </w:tc>
      </w:tr>
      <w:tr w:rsidR="00BF58FB" w:rsidRPr="00BF58FB" w14:paraId="7AF062E7" w14:textId="77777777" w:rsidTr="00BF58FB">
        <w:trPr>
          <w:gridAfter w:val="1"/>
          <w:wAfter w:w="2854" w:type="dxa"/>
        </w:trPr>
        <w:tc>
          <w:tcPr>
            <w:tcW w:w="0" w:type="auto"/>
            <w:hideMark/>
          </w:tcPr>
          <w:p w14:paraId="51079598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Deceased</w:t>
            </w:r>
          </w:p>
        </w:tc>
        <w:tc>
          <w:tcPr>
            <w:tcW w:w="0" w:type="auto"/>
            <w:hideMark/>
          </w:tcPr>
          <w:p w14:paraId="2B02BDCA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0" w:type="auto"/>
            <w:hideMark/>
          </w:tcPr>
          <w:p w14:paraId="2337B27F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 party</w:t>
            </w:r>
          </w:p>
        </w:tc>
        <w:tc>
          <w:tcPr>
            <w:tcW w:w="0" w:type="auto"/>
            <w:hideMark/>
          </w:tcPr>
          <w:p w14:paraId="2AC769E3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0" w:type="auto"/>
            <w:hideMark/>
          </w:tcPr>
          <w:p w14:paraId="3F35E256" w14:textId="526D84CB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You will need to provide one of the following documents set out at points 1 – 3 AND one of the documents referred to </w:t>
            </w:r>
            <w:r w:rsidR="008866EC"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r w:rsid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point 4.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1. Grant of Probate in respect of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’s Estate, naming the </w:t>
            </w:r>
            <w:r w:rsidR="00A14B6E"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third-party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requester as the Administrator of the Estate; or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2. a copy of: (a)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’s will, in which the </w:t>
            </w:r>
            <w:r w:rsidR="00A14B6E"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third-party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requester is named as an Executor; and (b) an accompanying solicitor's letter confirming that the will </w:t>
            </w:r>
            <w:r w:rsidR="008866EC"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be provided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is the last known will and testament of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(please note, a certified copy of the will, will not suffice. This is because a certified copy simply confirms 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that the person certifying the document has seen an original copy of the will – it does not confirm that the original copy of the will they have seen is the last will and testament of the deceased and to that end); or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3. if the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passed away intestate (without leaving a will), a Grant of Letters of Administration, naming the </w:t>
            </w:r>
            <w:r w:rsidR="008866EC"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third-party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requester as the Administrator of the Estate.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F58FB">
              <w:rPr>
                <w:rFonts w:eastAsia="Times New Roman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AND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4. photographic identification documentation for the </w:t>
            </w:r>
            <w:r w:rsidR="008866EC"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third-party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requester in the form or either a current passport or driving licence (or any such documentation as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Tinkers Hatch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may require from time to time).</w:t>
            </w:r>
          </w:p>
        </w:tc>
        <w:tc>
          <w:tcPr>
            <w:tcW w:w="0" w:type="auto"/>
            <w:hideMark/>
          </w:tcPr>
          <w:p w14:paraId="1138D1EA" w14:textId="77777777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Access to Health Records Act 1990</w:t>
            </w:r>
          </w:p>
        </w:tc>
        <w:tc>
          <w:tcPr>
            <w:tcW w:w="0" w:type="auto"/>
            <w:hideMark/>
          </w:tcPr>
          <w:p w14:paraId="4BD9BB39" w14:textId="53B89A9D" w:rsidR="00BF58FB" w:rsidRPr="00BF58FB" w:rsidRDefault="00BF58FB" w:rsidP="00BF58FB">
            <w:pPr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1. within 21 days where the records have been added to within the last 40 days; or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2. within 40 days where the records have not been added to within the last 40 days.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Example 1: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X dies on 1st January (and the last entry will therefore have been added to their records on this date).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Tinkers Hatch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receives a request for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X’s records on 10th January and satisfactory evidence of entitlement to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X’s records is received on 20th January. Because 20th January falls within 40 days of the date that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X’s records were last added to,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Tinkers Hatch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would release the records within 21 days of the date 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satisfactory evidence entitlement was received i.e. on or before 10th February.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Example 2: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X dies on 1st January (and the last entry will therefore have been added to their records on this date).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Tinkers Hatch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receives a request for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X’s records on 10th January, but satisfactory evidence of entitlement to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X’s records is only received on 11th February. Because 11th February is over 40 days from the date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X died (i.e. day 41) and is therefore over 40 days from the date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X’s records were last added to, </w:t>
            </w:r>
            <w:r w:rsidRPr="00A14B6E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Tinkers Hatch</w:t>
            </w:r>
            <w:r w:rsidRPr="00BF58FB">
              <w:rPr>
                <w:rFonts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would release the records within 40 days of the date satisfactory evidence entitlement was received i.e. on or before 23rd March.</w:t>
            </w:r>
          </w:p>
        </w:tc>
      </w:tr>
    </w:tbl>
    <w:p w14:paraId="5E75BF4A" w14:textId="77777777" w:rsidR="00166FCE" w:rsidRDefault="00166FCE"/>
    <w:sectPr w:rsidR="00166FCE" w:rsidSect="00166F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CE"/>
    <w:rsid w:val="00152991"/>
    <w:rsid w:val="00166FCE"/>
    <w:rsid w:val="00467106"/>
    <w:rsid w:val="008866EC"/>
    <w:rsid w:val="00A14B6E"/>
    <w:rsid w:val="00A54DE9"/>
    <w:rsid w:val="00B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8101"/>
  <w15:chartTrackingRefBased/>
  <w15:docId w15:val="{0681B432-74C3-4B7B-8E8C-80EFE509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F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F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F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F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F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F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F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F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F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F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F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aw-cell-content">
    <w:name w:val="tablesaw-cell-content"/>
    <w:basedOn w:val="DefaultParagraphFont"/>
    <w:rsid w:val="00166FCE"/>
  </w:style>
  <w:style w:type="character" w:styleId="Strong">
    <w:name w:val="Strong"/>
    <w:basedOn w:val="DefaultParagraphFont"/>
    <w:uiPriority w:val="22"/>
    <w:qFormat/>
    <w:rsid w:val="00BF5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Vine</dc:creator>
  <cp:keywords/>
  <dc:description/>
  <cp:lastModifiedBy>Rebecca Vine</cp:lastModifiedBy>
  <cp:revision>3</cp:revision>
  <dcterms:created xsi:type="dcterms:W3CDTF">2024-12-13T16:05:00Z</dcterms:created>
  <dcterms:modified xsi:type="dcterms:W3CDTF">2025-05-16T11:49:00Z</dcterms:modified>
</cp:coreProperties>
</file>